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Lesson plan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Class 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B.Sc</w:t>
        </w:r>
      </w:hyperlink>
      <w:r w:rsidDel="00000000" w:rsidR="00000000" w:rsidRPr="00000000">
        <w:rPr>
          <w:rtl w:val="0"/>
        </w:rPr>
        <w:t xml:space="preserve"> 2nd sem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Course code: B23-BOT-201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Course type: CC-2/MCC-3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Teacher Name: Amisha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Month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Topic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Teaching Method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January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Botanical nomenclature and major rules of ICBN and ICN;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Keys to identification of plants.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General introduction and importance of herbaria and botanical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gardens. Documentation of Floristic Diversity: Brief idea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about floras, monographs and journals.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Brief idea of taxonomic evidences.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Types of inflorescence, flower and parts of flower.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and visual method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visual and laboratory method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February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Artificial, natural and phylogenetic classifications. Bentham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and Hooker system of classification (upto series), Angiosperm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Phylogeny Group- general account.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Diagnostic features and economic importance of the following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families: Ranunculaceae, Brassicaceae, Malvaceae,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Euphorbiaceae, Rutaceae, Leguminosae, Apocynaceae,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Lamiaceae, Solanaceae, Asteraceae, Poaceae and Orchidaceae.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and visual method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Ecology: Definition; scope and importance; levels of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organization. Environmental factors- climatic factors, edaphic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factors, topographic; and Biotic factors.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and Practical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April - May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Population Ecology: Basic concept; characteristics; biotic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potential, growth curves; ecotypes and ecads.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Community Ecology: Concepts; characteristics (qualitative and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quantitative-analytical and synthetic); methods of analysis;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ecological succession.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and Assignment </w:t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b.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