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fx5aw2d0hyv6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Subject: Income Tax law-1st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Course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B.Com 3rd semester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Course Code: B 23-COM-302</w:t>
        <w:br w:type="textWrapping"/>
        <w:t xml:space="preserve"> Weekly  Hours~4</w:t>
        <w:br w:type="textWrapping"/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Methodology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Visual explanation of concepts with PPTs, Videos, Boards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Teacher:  Ms Neelam</w:t>
      </w:r>
    </w:p>
    <w:tbl>
      <w:tblPr>
        <w:tblStyle w:val="Table1"/>
        <w:tblW w:w="9460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2"/>
        <w:gridCol w:w="1872"/>
        <w:gridCol w:w="2386"/>
        <w:gridCol w:w="3330"/>
        <w:tblGridChange w:id="0">
          <w:tblGrid>
            <w:gridCol w:w="1872"/>
            <w:gridCol w:w="1872"/>
            <w:gridCol w:w="2386"/>
            <w:gridCol w:w="3330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Topic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Sub-Topic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Teaching Aid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August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Income Tax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History,Scope, Definitions, Tax Slabs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Board work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August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Basic Concepts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Assessee, Person, PY &amp; AY, Exempt Incomes, Agricultural Income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Short PPT-based concept 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August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Residential 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Resident, Non-Resident, NOR, Tax Incidence Table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PPT based presentation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August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Income from Salaries – Part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Basic Salary, Allowances (HRA, TA, DA), Taxable &amp; Exempt Chart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Pdf &amp;PPT 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August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Income from Salaries – Part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Perquisites, Provident Fund, Retirement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Board work plus group discussion 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September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Income from House Property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Gross annual value, NAV, Deductions under Sec 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PPT&amp; Group Discussion 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September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Income from Business/Profession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Allowable/disallowable expenses, Depreciation, Presumptive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Chart of Sec 30–43C shown in slides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October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Capital Gains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STCG/LTCG, Indexation, Sec 54 Exemptions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Graphs for LTCG &amp; STCG presentation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October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Income from Other 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Casual Income, Gifts, Interest, Dividends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PPT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October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Clubbing of Income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Spouse, Minor Child, HUF, Transfer of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Chart base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Presentation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November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Set-off &amp; Carry Forward of Losses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Intra-head vs Inter-head, Time Limits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Chart-based presentation carry-forward periods&amp; written test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k3jhi+njjLlpgo46ixdzeH0Tdw==">CgMxLjAyDmguZng1YXcyZDBoeXY2OAByITFWSzBUbmM5V2Fad1Y0enQ1NUJaRmI2TWJrdVRNTlJYZA==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